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D8E6" w14:textId="1E7F1BC0" w:rsidR="00A952E5" w:rsidRPr="00A952E5" w:rsidRDefault="00A952E5" w:rsidP="00A9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CỘNG HÒA XÃ HỘI CHỦ NGHĨA 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>VIỆT  NAM</w:t>
      </w:r>
      <w:proofErr w:type="gramEnd"/>
    </w:p>
    <w:p w14:paraId="2085C460" w14:textId="0D584F33" w:rsidR="00A952E5" w:rsidRPr="00A952E5" w:rsidRDefault="00A952E5" w:rsidP="00A952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14:paraId="46CB55BD" w14:textId="77777777" w:rsidR="00A952E5" w:rsidRPr="00A952E5" w:rsidRDefault="00A952E5" w:rsidP="00A9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>——-o0o——–</w:t>
      </w:r>
    </w:p>
    <w:p w14:paraId="01A51CB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64B3EEB" w14:textId="77777777" w:rsidR="00A952E5" w:rsidRPr="00A952E5" w:rsidRDefault="00A952E5" w:rsidP="00A952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2E5">
        <w:rPr>
          <w:rFonts w:ascii="Times New Roman" w:hAnsi="Times New Roman" w:cs="Times New Roman"/>
          <w:b/>
          <w:bCs/>
          <w:sz w:val="28"/>
          <w:szCs w:val="28"/>
        </w:rPr>
        <w:t>HỢP ĐỒNG NHÂN CÔNG XÂY DỰNG</w:t>
      </w:r>
    </w:p>
    <w:p w14:paraId="0EF623BB" w14:textId="4B6A9C19" w:rsidR="00A952E5" w:rsidRPr="00A952E5" w:rsidRDefault="00A952E5" w:rsidP="00A9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HĐNC/XDV/2016-01)</w:t>
      </w:r>
    </w:p>
    <w:p w14:paraId="13C56852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0579A821" w14:textId="0FE2FEB8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33/2005/QH 11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26/07/2005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14/06/2005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01/01/2006.</w:t>
      </w:r>
    </w:p>
    <w:p w14:paraId="02847793" w14:textId="28CD044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36/2005/QH 11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14/06/2005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01/01/2006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>. .</w:t>
      </w:r>
      <w:proofErr w:type="gramEnd"/>
    </w:p>
    <w:p w14:paraId="2EEBE851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7BD19496" w14:textId="5C29D203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…. 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:</w:t>
      </w:r>
    </w:p>
    <w:p w14:paraId="1A84B291" w14:textId="032D5578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>BÊN A (BÊN THUÊ): ………………………………………………………………………………………………………</w:t>
      </w:r>
    </w:p>
    <w:p w14:paraId="2C7F2AF3" w14:textId="387F4E33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 xml:space="preserve"> :…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…………………………………………….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: …………………………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73C6801F" w14:textId="53F35135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……………………………………………………………………………………….</w:t>
      </w:r>
    </w:p>
    <w:p w14:paraId="212E09B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:  …………………………………………………………………………………………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7E3887D3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4948CF86" w14:textId="3E7BB3B4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lastRenderedPageBreak/>
        <w:t>Tài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proofErr w:type="gramStart"/>
      <w:r w:rsidRPr="00A952E5">
        <w:rPr>
          <w:rFonts w:ascii="Times New Roman" w:hAnsi="Times New Roman" w:cs="Times New Roman"/>
          <w:sz w:val="28"/>
          <w:szCs w:val="28"/>
        </w:rPr>
        <w:t xml:space="preserve"> :…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094E2C2A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1700EAA0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>BÊN B (BÊN THI CÔNG/THỰC HIỆN)</w:t>
      </w:r>
    </w:p>
    <w:p w14:paraId="40F1A5AD" w14:textId="2AA9C853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diện</w:t>
      </w:r>
      <w:proofErr w:type="spellEnd"/>
      <w:proofErr w:type="gramStart"/>
      <w:r w:rsidRPr="00A952E5">
        <w:rPr>
          <w:rFonts w:ascii="Times New Roman" w:hAnsi="Times New Roman" w:cs="Times New Roman"/>
          <w:sz w:val="28"/>
          <w:szCs w:val="28"/>
        </w:rPr>
        <w:t xml:space="preserve"> :…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………………………………………..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: ……………………………</w:t>
      </w:r>
    </w:p>
    <w:p w14:paraId="3B4BF42B" w14:textId="4E76DA04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>MST/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>SMN  :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…………………………………………………………………………………………..</w:t>
      </w:r>
    </w:p>
    <w:p w14:paraId="7A3A885B" w14:textId="40969854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………………………………………………………………………………………………….</w:t>
      </w:r>
    </w:p>
    <w:p w14:paraId="328E163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/SĐT:  ………………………………………………………………………………………</w:t>
      </w:r>
    </w:p>
    <w:p w14:paraId="0FF6883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FD41F62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gia,chúng</w:t>
      </w:r>
      <w:proofErr w:type="spellEnd"/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:</w:t>
      </w:r>
    </w:p>
    <w:p w14:paraId="07C4F368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29BA998D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1: Giao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76A1759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thể”theo</w:t>
      </w:r>
      <w:proofErr w:type="spellEnd"/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A.</w:t>
      </w:r>
    </w:p>
    <w:p w14:paraId="2B29D523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EE2761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trị</w:t>
      </w:r>
      <w:proofErr w:type="spellEnd"/>
    </w:p>
    <w:p w14:paraId="50D9D43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(bao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hiểmxã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tai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 …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FAECC6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FE4220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:</w:t>
      </w:r>
    </w:p>
    <w:p w14:paraId="6DFAFAA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952E5" w14:paraId="7B93460F" w14:textId="77777777" w:rsidTr="00A952E5">
        <w:tc>
          <w:tcPr>
            <w:tcW w:w="2337" w:type="dxa"/>
          </w:tcPr>
          <w:p w14:paraId="78BD7382" w14:textId="73397AA7" w:rsidR="00A952E5" w:rsidRDefault="00A952E5" w:rsidP="00A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337" w:type="dxa"/>
          </w:tcPr>
          <w:p w14:paraId="1705383E" w14:textId="3040A4C7" w:rsidR="00A952E5" w:rsidRDefault="00A952E5" w:rsidP="00A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338" w:type="dxa"/>
          </w:tcPr>
          <w:p w14:paraId="3E4B594C" w14:textId="2DBCE20F" w:rsidR="00A952E5" w:rsidRDefault="00A952E5" w:rsidP="00A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ĐVT</w:t>
            </w:r>
          </w:p>
        </w:tc>
        <w:tc>
          <w:tcPr>
            <w:tcW w:w="2338" w:type="dxa"/>
          </w:tcPr>
          <w:p w14:paraId="6BAD89FB" w14:textId="545A8883" w:rsidR="00A952E5" w:rsidRDefault="00A952E5" w:rsidP="00A95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</w:tc>
      </w:tr>
      <w:tr w:rsidR="00A952E5" w14:paraId="26471B99" w14:textId="77777777" w:rsidTr="00A952E5">
        <w:tc>
          <w:tcPr>
            <w:tcW w:w="2337" w:type="dxa"/>
          </w:tcPr>
          <w:p w14:paraId="5BF3B298" w14:textId="77777777" w:rsidR="00A952E5" w:rsidRDefault="00A952E5" w:rsidP="00A95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F1768E1" w14:textId="77777777" w:rsidR="00A952E5" w:rsidRDefault="00A952E5" w:rsidP="00A95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01F5CA7" w14:textId="77777777" w:rsidR="00A952E5" w:rsidRDefault="00A952E5" w:rsidP="00A95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3E322F23" w14:textId="77777777" w:rsidR="00A952E5" w:rsidRDefault="00A952E5" w:rsidP="00A95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F2F5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4E868B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1m2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2A09F558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5B15EC89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3202D1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2.3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p w14:paraId="3E3B97CD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</w:p>
    <w:p w14:paraId="0F3B697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54ACE5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51DA5843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78CE94E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14:paraId="7D780DA8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7C072BBF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3A264902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69CB9DA0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436B036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4.1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: Thanh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14:paraId="544197B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4.2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:</w:t>
      </w:r>
    </w:p>
    <w:p w14:paraId="73663C9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42F6963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4.2.1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:</w:t>
      </w:r>
    </w:p>
    <w:p w14:paraId="6051BBC0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Sau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hoạtcho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231CC84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223BD03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6BAF9CF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52E5">
        <w:rPr>
          <w:rFonts w:ascii="Times New Roman" w:hAnsi="Times New Roman" w:cs="Times New Roman"/>
          <w:sz w:val="28"/>
          <w:szCs w:val="28"/>
        </w:rPr>
        <w:t>4.2.2  Thanh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14:paraId="6B7160AF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thàng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bởicán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A.</w:t>
      </w:r>
    </w:p>
    <w:p w14:paraId="77AE3C8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sẽ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toán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khối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lượng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05-10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thángsau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đầy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toán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051ECA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Atrả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21F15A8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432AB0E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4.3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4F51E29A" w14:textId="7697798C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289578A5" w14:textId="2C1EF4EF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09422710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lý</w:t>
      </w:r>
      <w:proofErr w:type="spellEnd"/>
    </w:p>
    <w:p w14:paraId="49E1517A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63FF85C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hiểm</w:t>
      </w:r>
      <w:proofErr w:type="spellEnd"/>
    </w:p>
    <w:p w14:paraId="5CBC99B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08AE60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2BA8850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B04EEA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lastRenderedPageBreak/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chấp</w:t>
      </w:r>
      <w:proofErr w:type="spellEnd"/>
    </w:p>
    <w:p w14:paraId="07447FF2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973307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6317BC4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209E77E3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</w:p>
    <w:p w14:paraId="7A6A0A9D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lốc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lở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hỏa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Nam</w:t>
      </w:r>
    </w:p>
    <w:p w14:paraId="4119EEB2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:</w:t>
      </w:r>
    </w:p>
    <w:p w14:paraId="2B4948D6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</w:t>
      </w:r>
    </w:p>
    <w:p w14:paraId="73A37153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07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</w:p>
    <w:p w14:paraId="603F73B0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D460E8F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>2.Trong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14:paraId="03A98C2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1A733028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14:paraId="500B1C89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8.1.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</w:p>
    <w:p w14:paraId="5552A1D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47D996D6" w14:textId="3AA73F14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</w:p>
    <w:p w14:paraId="017C7666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</w:t>
      </w:r>
    </w:p>
    <w:p w14:paraId="32AA2F2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14:paraId="49AA8C9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thuận</w:t>
      </w:r>
      <w:proofErr w:type="spellEnd"/>
    </w:p>
    <w:p w14:paraId="6E48696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hại</w:t>
      </w:r>
      <w:proofErr w:type="spellEnd"/>
    </w:p>
    <w:p w14:paraId="6B0041A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03E4589A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6A27BBD2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115D6A1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</w:p>
    <w:p w14:paraId="2E354EFA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8F6F07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bỏ.Nếu</w:t>
      </w:r>
      <w:proofErr w:type="spellEnd"/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254C8F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Khi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9AE310D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A9C959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2423A1D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761820AA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lastRenderedPageBreak/>
        <w:t>gian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16AA06B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13D0056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1%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tóan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2E6CFEDD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267A3D1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2E5">
        <w:rPr>
          <w:rFonts w:ascii="Times New Roman" w:hAnsi="Times New Roman" w:cs="Times New Roman"/>
          <w:sz w:val="28"/>
          <w:szCs w:val="28"/>
        </w:rPr>
        <w:t>( bao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…)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3A85E51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DB32988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tóan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1D4D0F6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0541FA8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10: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</w:p>
    <w:p w14:paraId="264F4FF1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</w:t>
      </w:r>
    </w:p>
    <w:p w14:paraId="7A0C7BA4" w14:textId="3D2BBC54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5C023B9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trường.Bên</w:t>
      </w:r>
      <w:proofErr w:type="spellEnd"/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hóc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B.</w:t>
      </w:r>
    </w:p>
    <w:p w14:paraId="3F6E812F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098F452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10800EB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14:paraId="056CE676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</w:t>
      </w:r>
    </w:p>
    <w:p w14:paraId="3DD1F7C3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B1AC4D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tra,giám</w:t>
      </w:r>
      <w:proofErr w:type="spellEnd"/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Daewoo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0E16B16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>– C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B.</w:t>
      </w:r>
    </w:p>
    <w:p w14:paraId="17A03813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893F63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,…</w:t>
      </w:r>
      <w:proofErr w:type="spellStart"/>
      <w:proofErr w:type="gramEnd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46/2015/NĐ-CP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12/05/2015.</w:t>
      </w:r>
    </w:p>
    <w:p w14:paraId="5F595021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0063EC0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146209C2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101D02B7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3FDE0E8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DA9F9AD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</w:t>
      </w:r>
    </w:p>
    <w:p w14:paraId="7CDC6C9D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2F3FAC29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trình,bảo</w:t>
      </w:r>
      <w:proofErr w:type="spellEnd"/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38BC74BD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0D75A51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</w:t>
      </w:r>
    </w:p>
    <w:p w14:paraId="50B09F3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22D9710E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</w:t>
      </w:r>
    </w:p>
    <w:p w14:paraId="0AD2D8A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55CEBC89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7723B83F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06038F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)</w:t>
      </w:r>
    </w:p>
    <w:p w14:paraId="7676C4D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4569FC71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0E06459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21A91AE2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B.</w:t>
      </w:r>
    </w:p>
    <w:p w14:paraId="6F792631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15BB1AB1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52E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proofErr w:type="gram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5FBB990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650AAB2B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ý:</w:t>
      </w:r>
    </w:p>
    <w:p w14:paraId="65557300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1A29B3CC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bia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gổ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CE3690F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4B42370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phạt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46459B19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775BF79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11: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14:paraId="1E35DF61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Hai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14:paraId="13C75466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60FD7D75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2E5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952E5">
        <w:rPr>
          <w:rFonts w:ascii="Times New Roman" w:hAnsi="Times New Roman" w:cs="Times New Roman"/>
          <w:sz w:val="28"/>
          <w:szCs w:val="28"/>
        </w:rPr>
        <w:t>.</w:t>
      </w:r>
    </w:p>
    <w:p w14:paraId="77C2D861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08F3EA24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A25F2" w14:textId="77777777" w:rsidR="00A952E5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</w:p>
    <w:p w14:paraId="353365FA" w14:textId="533E7799" w:rsidR="004D49D4" w:rsidRPr="00A952E5" w:rsidRDefault="00A952E5" w:rsidP="00A952E5">
      <w:pPr>
        <w:rPr>
          <w:rFonts w:ascii="Times New Roman" w:hAnsi="Times New Roman" w:cs="Times New Roman"/>
          <w:sz w:val="28"/>
          <w:szCs w:val="28"/>
        </w:rPr>
      </w:pPr>
      <w:r w:rsidRPr="00A952E5">
        <w:rPr>
          <w:rFonts w:ascii="Times New Roman" w:hAnsi="Times New Roman" w:cs="Times New Roman"/>
          <w:sz w:val="28"/>
          <w:szCs w:val="28"/>
        </w:rPr>
        <w:t xml:space="preserve">             ĐẠI DIỆN BÊN B                                             ĐẠI DIỆN BÊN A</w:t>
      </w:r>
    </w:p>
    <w:sectPr w:rsidR="004D49D4" w:rsidRPr="00A9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E5"/>
    <w:rsid w:val="004D49D4"/>
    <w:rsid w:val="00A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25C4"/>
  <w15:chartTrackingRefBased/>
  <w15:docId w15:val="{F1EEF1D0-9096-40A1-92C5-2AF9D42F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52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52E5"/>
    <w:rPr>
      <w:b/>
      <w:bCs/>
    </w:rPr>
  </w:style>
  <w:style w:type="character" w:styleId="Emphasis">
    <w:name w:val="Emphasis"/>
    <w:basedOn w:val="DefaultParagraphFont"/>
    <w:uiPriority w:val="20"/>
    <w:qFormat/>
    <w:rsid w:val="00A952E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52E5"/>
    <w:rPr>
      <w:color w:val="0000FF"/>
      <w:u w:val="single"/>
    </w:rPr>
  </w:style>
  <w:style w:type="table" w:styleId="TableGrid">
    <w:name w:val="Table Grid"/>
    <w:basedOn w:val="TableNormal"/>
    <w:uiPriority w:val="39"/>
    <w:rsid w:val="00A9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Chiến Tuấn Nguyễn Xuân</dc:creator>
  <cp:keywords/>
  <dc:description/>
  <cp:lastModifiedBy>Chiến Tuấn Nguyễn Xuân</cp:lastModifiedBy>
  <cp:revision>1</cp:revision>
  <dcterms:created xsi:type="dcterms:W3CDTF">2020-07-01T09:47:00Z</dcterms:created>
  <dcterms:modified xsi:type="dcterms:W3CDTF">2020-07-01T09:52:00Z</dcterms:modified>
</cp:coreProperties>
</file>